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ACUERDO Nº 1035</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29-10-2015</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UGPP</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i/>
          <w:iCs/>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i/>
          <w:iCs/>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proofErr w:type="gramStart"/>
      <w:r w:rsidRPr="00FE0199">
        <w:rPr>
          <w:rFonts w:eastAsia="Times New Roman" w:cs="Times New Roman"/>
          <w:i/>
          <w:iCs/>
          <w:szCs w:val="24"/>
          <w:lang w:eastAsia="es-CO"/>
        </w:rPr>
        <w:t>por</w:t>
      </w:r>
      <w:proofErr w:type="gramEnd"/>
      <w:r w:rsidRPr="00FE0199">
        <w:rPr>
          <w:rFonts w:eastAsia="Times New Roman" w:cs="Times New Roman"/>
          <w:i/>
          <w:iCs/>
          <w:szCs w:val="24"/>
          <w:lang w:eastAsia="es-CO"/>
        </w:rPr>
        <w:t xml:space="preserve"> el cual se define, formula, y adopta, para la Unidad Administrativa Especial de Gestión Pensional y Contribuciones Parafiscales de la Protección Social (UGPP), la política de mejoramiento continuo en el proceso de determinación, liquidación y pago de los aportes al Sistema de la Protección Social.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 Consejo Directivo de la Unidad Administrativa Especial de Gestión Pensional y Contribuciones Parafiscales de la Protección Social (UGPP), en uso de sus facultades legales y en especial las conferidas por los numerales 2 y 9 del artículo 2° del Decreto-ley 4168 de 2011, y</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CONSIDERANDO: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Que según el numeral 2 del artículo 2° del Decreto-ley 4168 de 2011, es función del Consejo Directivo de la Unidad de Gestión Pensional y Contribuciones Parafiscales de la Protección Social (UGPP), asesorar al Director General en la adopción de las políticas, entre otra;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Que de conformidad con el numeral 9 del Decreto-ley 4168 de 2011, es función del Consejo Directivo de la Unidad de Gestión Pensional y Contribuciones Parafiscales de la Protección Social (UGPP), formular y adoptar, a propuesta del Director General, la política de mejoramiento continuo de la entidad, así como los programas orientados a garantizar el desarrollo administrativo;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Que el numeral 2 del artículo 156 de la Ley 1151 de 2007 establece que la Unidad Administrativa Especial de Gestión Pensional y Contribuciones Parafiscales de la Protección Social (UGPP), tiene a su cargo las tareas de seguimiento, colaboración y determinación de la adecuada, completa y oportuna liquidación y pago de las contribuciones parafiscales de la Protección Social, para lo cual debe seguir el procedimiento establecido en los Títulos I, IV, V y VI del Libro V del Estatuto Tributario Nacional;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Que el artículo 178 de la Ley 1607 de 2012 establece que la Unidad Administrativa Especial de Gestión Pensional y Contribuciones Parafiscales de la Protección Social (UGPP) es la entidad competente para adelantar las acciones de determinación y cobro de las contribuciones parafiscales de la Protección Social de los aportantes que incurren en conductas de omisión e inexactitud y conserva la facultad de adelantar el cobro de la mora en aquellos casos que lo considere conveniente, directamente y de forma preferente y el artículo 179 de la misma ley la faculta para imponer sanciones por omisión, inexactitud, no envío de información e incumplimiento a los estándares de cobro fijados por esa Unidad;</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Que para desarrollar la competencia atribuida en las normas mencionadas y adelantar las etapas persuasivas y los procesos de determinación de aportes y sancionatorios, se requiere, a propuesta del Director General, definir la política de mejoramiento continuo de la entidad que garantice los principios orientadores de la función administrativa, en especial la economía y la eficacia en el suministro de la información requerida a los obligados, los plazos para su entrega, la práctica de la inspección tributaria, los procedimientos cuando se asuma el cobro preferente de la mora, y el control en la determinación del ingreso base de cotización para la liquidación de aportes al Sistema de la Protección Social y demás obligaciones determinadas por la Unidad de Gestión Pensional y Contribuciones Parafiscales de la Protección Social (UGPP);</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Que cuando se efectúen modificaciones en normas sustanciales o procedimentales con incidencia en los temas aquí tratados, la Dirección General de la Unidad deberá informar al Consejo Directivo y efectuar las nuevas propuestas para realizar los ajustes respectivos sobre este acuerdo que resulten consonantes con las normas vigentes y aplicables.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consecuencia,</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ACUERDA: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Primero. Definir, formular y adoptar, </w:t>
      </w:r>
      <w:r w:rsidRPr="00FE0199">
        <w:rPr>
          <w:rFonts w:eastAsia="Times New Roman" w:cs="Times New Roman"/>
          <w:szCs w:val="24"/>
          <w:lang w:eastAsia="es-CO"/>
        </w:rPr>
        <w:t>la política de mejoramiento continuo de la entidad que garantice la aplicación de las normas vigentes y los principios orientadores de la función administrativa, en especial la economía y la eficacia en el suministro de información requerida a los obligados, los plazos para su entrega, los procedimientos cuando se asuma el cobro preferente de la mora, la práctica de la inspección tributaria dentro de los procesos administrativos y el control en la determinación del ingreso base de cotización para la liquidación de los aportes al Sistema de la Protección Social y demás obligaciones determinadas por la Unidad de Gestión Pensional y Contribuciones Parafiscales de la Protección Social (UGPP).</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SECCIÓN I</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POLÍTICA PARA EL REQUERIMIENTO Y SUMINISTRO DE INFORMACIÓN, PRÁCTICA DE LA INSPECCIÓN TRIBUTARIA Y ACCIÓN PREFERENTE EN EL COBRO DE LA MORA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1. Del requerimiento y suministro de la información.</w:t>
      </w:r>
      <w:r w:rsidRPr="00FE0199">
        <w:rPr>
          <w:rFonts w:eastAsia="Times New Roman" w:cs="Times New Roman"/>
          <w:szCs w:val="24"/>
          <w:lang w:eastAsia="es-CO"/>
        </w:rPr>
        <w:t> En ejercicio de la facultad prevista en el parágrafo 2° del artículo 178 de la Ley 1607 de 2012, la Unidad Administrativa Especial de Gestión Pensional y Contribuciones Parafiscales de la Protección Social (UGPP) al iniciar el proceso de determinación de los aportes a los obligados con el Sistema de la Protección Social con la notificación del requerimiento de información del período objeto de fiscalización, solicitará la siguiente información mínima para el efectivo cumplimiento de sus funciones: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 Nómina detallada por trabajador activo o retirado y sus correspondientes novedades;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b) Balances de prueba;</w:t>
      </w:r>
    </w:p>
    <w:p w:rsidR="002D60CD" w:rsidRDefault="002D60CD"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 Los auxiliares al máximo nivel de beneficiario final de los respectivos recursos.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 aportante podrá allegar documentación adicional que considere pertinente para permitir la adecuada valoración del cumplimiento de las obligaciones a su cargo.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2. Del plazo para dar respuesta:</w:t>
      </w:r>
      <w:r w:rsidRPr="00FE0199">
        <w:rPr>
          <w:rFonts w:eastAsia="Times New Roman" w:cs="Times New Roman"/>
          <w:szCs w:val="24"/>
          <w:lang w:eastAsia="es-CO"/>
        </w:rPr>
        <w:t> En los requerimientos de información que emita la Unidad de Gestión Pensional y Contribuciones Parafiscales de la Protección Social (UGPP), otorgará un plazo prudencial para el recibo de la información, que en todo caso no puede ser inferior a quince (15) días, y que siempre debe considerar que los obligados al suministro de la información requieren alistar la información solicitada en los formatos con las especificaciones que se definan.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Al momento de otorgar el término, se debe considerar entre otros aspectos, el volumen y la carga operativa que ello significa para las empresas. Por lo anterior, se debe otorgar un término hasta de tres (3) meses, no prorrogables para dar respuesta al requerimiento de información.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3. De la práctica de la inspección tributaria:</w:t>
      </w:r>
      <w:r w:rsidRPr="00FE0199">
        <w:rPr>
          <w:rFonts w:eastAsia="Times New Roman" w:cs="Times New Roman"/>
          <w:szCs w:val="24"/>
          <w:lang w:eastAsia="es-CO"/>
        </w:rPr>
        <w:t> La Unidad Administrativa podrá decretar la práctica de la inspección tributaria, para verificar la exactitud de las declaraciones de autoliquidación, para establecer la existencia de hechos que generen obligaciones en materia de contribuciones parafiscales de la Protección Social, o para verificar el cumplimiento de las obligaciones formales. Esta inspección se adelantará en los términos que para el efecto señala el </w:t>
      </w:r>
      <w:hyperlink r:id="rId4" w:tooltip="Estatuto Tributario CETA" w:history="1">
        <w:r w:rsidRPr="00FE0199">
          <w:rPr>
            <w:rFonts w:eastAsia="Times New Roman" w:cs="Times New Roman"/>
            <w:szCs w:val="24"/>
            <w:lang w:eastAsia="es-CO"/>
          </w:rPr>
          <w:t>artículo 779</w:t>
        </w:r>
      </w:hyperlink>
      <w:r w:rsidRPr="00FE0199">
        <w:rPr>
          <w:rFonts w:eastAsia="Times New Roman" w:cs="Times New Roman"/>
          <w:szCs w:val="24"/>
          <w:lang w:eastAsia="es-CO"/>
        </w:rPr>
        <w:t> del Estatuto Tributario el cual resulta aplicable a la Unidad Administrativa Especial de Gestión Pensional y Contribuciones Parafiscales de la Protección Social (UGPP), conforme con lo previsto en el artículo 156 de la Ley 1151 de 2007.</w:t>
      </w:r>
    </w:p>
    <w:p w:rsidR="00FE0199" w:rsidRDefault="00FE0199"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4. De la acción preferente del cobro de la mora:</w:t>
      </w:r>
      <w:r w:rsidRPr="00FE0199">
        <w:rPr>
          <w:rFonts w:eastAsia="Times New Roman" w:cs="Times New Roman"/>
          <w:szCs w:val="24"/>
          <w:lang w:eastAsia="es-CO"/>
        </w:rPr>
        <w:t> Considerando que el parágrafo 1° del artículo 178 de la Ley 1607 de 2012 prevé que la Unidad de Gestión Pensional y Contribuciones Parafiscales de la Protección Social (UGPP) conserva la facultad de adelantar el cobro sobre aquellos casos que considere conveniente adelantarlo directamente y de forma preferente, sin que esto implique que las administradoras se eximan de las responsabilidades fijadas legalmente por la omisión en el cobro de los aportes, cuando la Unidad de Gestión Pensional y Contribuciones Parafiscales de la Protección Social (UGPP) respecto a un aportante asuma por acción preferente el cobro de la mora de los aportes al Sistema de la Protección Social sobre determinados períodos, informará a las respectivas administradoras para que en los casos que resulte procedente y por dichos períodos, suspendan las acciones que se hayan iniciado en contra del aportante moroso y den traslado de las mismas únicamente respecto de los citados períodos, sin perjuicio de la obligación que le asiste a las administradoras de continuar el cobro de la mora, si la hay, sobre las demás vigencias.</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SECCIÓN II</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 xml:space="preserve">POLÍTICA PARA EL CONTROL DE LA DETERMINACIÓN DE LA BASE DE COTIZACIÓN DE APORTES AL SISTEMA DE LA PROTECCIÓN SOCIAL EN </w:t>
      </w:r>
      <w:r w:rsidRPr="00FE0199">
        <w:rPr>
          <w:rFonts w:eastAsia="Times New Roman" w:cs="Times New Roman"/>
          <w:b/>
          <w:bCs/>
          <w:szCs w:val="24"/>
          <w:lang w:eastAsia="es-CO"/>
        </w:rPr>
        <w:lastRenderedPageBreak/>
        <w:t>LA ETAPA PERSUASIVA Y EL PROCESOS DE DETERMINACIÓN EN LA UNIDAD DE GESTIÓN PENSIONAL Y CONTRIBUCIONES PARAFISCALES DE LA PROTECCIÓN SOCIAL (UGPP)</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1. De los pagos no constitutivos de salario excluidos de la base de cotización de aportes al Sistema de Seguridad Social Integral en Salud, Pensión, y Riesgos Laborales, Sena, ICBF y Régimen del Subsidio Familiar.</w:t>
      </w:r>
      <w:r w:rsidRPr="00FE0199">
        <w:rPr>
          <w:rFonts w:eastAsia="Times New Roman" w:cs="Times New Roman"/>
          <w:szCs w:val="24"/>
          <w:lang w:eastAsia="es-CO"/>
        </w:rPr>
        <w:t> Conforme con lo previsto en los artículos 128 y 130 del C.S.T., artículo 2° de la Ley 15/59, artículo 17 de la Ley 344/96 y artículos 169 y 173 del Decreto-ley 663/93 Estatuto Orgánico del Sistema Financiero, para determinar la base de cotización de aportes al Sistema de Seguridad Social Integral en Salud, Pensión, y Riesgos Laborales, Sena, ICBF y Régimen del Subsidio Familiar</w:t>
      </w:r>
      <w:r w:rsidRPr="002D60CD">
        <w:rPr>
          <w:rFonts w:eastAsia="Times New Roman" w:cs="Times New Roman"/>
          <w:szCs w:val="24"/>
          <w:highlight w:val="green"/>
          <w:lang w:eastAsia="es-CO"/>
        </w:rPr>
        <w:t>, no se tendrán en cuenta los siguientes pagos laborales no constitutivos de salario: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754CB7">
        <w:rPr>
          <w:rFonts w:eastAsia="Times New Roman" w:cs="Times New Roman"/>
          <w:szCs w:val="24"/>
          <w:highlight w:val="green"/>
          <w:lang w:eastAsia="es-CO"/>
        </w:rPr>
        <w:t>a) Las prestaciones sociales establecidas en los Títulos VIII y IX del Código Sustantivo del Trabajo (Artículo 128 del C.S.T.);</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b</w:t>
      </w:r>
      <w:r w:rsidRPr="002D60CD">
        <w:rPr>
          <w:rFonts w:eastAsia="Times New Roman" w:cs="Times New Roman"/>
          <w:szCs w:val="24"/>
          <w:highlight w:val="green"/>
          <w:lang w:eastAsia="es-CO"/>
        </w:rPr>
        <w:t xml:space="preserve">) Lo que recibe el trabajador, en dinero o en especie, no para su beneficio ni para enriquecer su patrimonio, sino para desempeñar a cabalidad sus funciones, como: gastos de representación, medios de transporte, elementos de trabajo, </w:t>
      </w:r>
      <w:r w:rsidRPr="002D60CD">
        <w:rPr>
          <w:rFonts w:eastAsia="Times New Roman" w:cs="Times New Roman"/>
          <w:b/>
          <w:szCs w:val="24"/>
          <w:highlight w:val="green"/>
          <w:lang w:eastAsia="es-CO"/>
        </w:rPr>
        <w:t>y otros semejantes</w:t>
      </w:r>
      <w:r w:rsidRPr="002D60CD">
        <w:rPr>
          <w:rFonts w:eastAsia="Times New Roman" w:cs="Times New Roman"/>
          <w:szCs w:val="24"/>
          <w:highlight w:val="green"/>
          <w:lang w:eastAsia="es-CO"/>
        </w:rPr>
        <w:t>. (Artículo 128 del C.S.T.).</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Cuando el artículo 128 del Código Sustantivo del Trabajo, hace referencia a “otros semejantes” está incluyendo </w:t>
      </w:r>
      <w:r w:rsidRPr="002D60CD">
        <w:rPr>
          <w:rFonts w:eastAsia="Times New Roman" w:cs="Times New Roman"/>
          <w:szCs w:val="24"/>
          <w:highlight w:val="green"/>
          <w:lang w:eastAsia="es-CO"/>
        </w:rPr>
        <w:t>entre otros el auxilio para vestuario, auxilio para comunicaciones y para estudio;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c) </w:t>
      </w:r>
      <w:r w:rsidRPr="002D60CD">
        <w:rPr>
          <w:rFonts w:eastAsia="Times New Roman" w:cs="Times New Roman"/>
          <w:szCs w:val="24"/>
          <w:highlight w:val="green"/>
          <w:lang w:eastAsia="es-CO"/>
        </w:rPr>
        <w:t>Viáticos permanentes en la parte diferente a proporcionar al trabajador manutención y alojamiento (artículo 130 del C.S.T.);</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2D60CD">
        <w:rPr>
          <w:rFonts w:eastAsia="Times New Roman" w:cs="Times New Roman"/>
          <w:szCs w:val="24"/>
          <w:highlight w:val="green"/>
          <w:lang w:eastAsia="es-CO"/>
        </w:rPr>
        <w:t>d) Viáticos accidentales (artículo 130 del C.S.T.);</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2D60CD">
        <w:rPr>
          <w:rFonts w:eastAsia="Times New Roman" w:cs="Times New Roman"/>
          <w:szCs w:val="24"/>
          <w:highlight w:val="green"/>
          <w:lang w:eastAsia="es-CO"/>
        </w:rPr>
        <w:t>e) El auxilio legal de transporte. (Artículo 2° Ley 15/59) (Artículo 17 Ley 344/96);</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f) Las sumas que recibe el trabajador de manera ocasional y por mera liberalidad del empleador como primas, bonificaciones o gratificaciones ocasionales, participación de utilidades, excedentes de las empresas de economía solidaria. (Artículo 128 del C.S.T.);</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g) Los beneficios o auxilios habituales u ocasionales acordados convencional o contractualmente u otorgados en forma extralegal por el empleador, cuando las partes hayan dispuesto expresamente que no constituyen salario en dinero o en especie, </w:t>
      </w:r>
      <w:r w:rsidRPr="002D60CD">
        <w:rPr>
          <w:rFonts w:eastAsia="Times New Roman" w:cs="Times New Roman"/>
          <w:szCs w:val="24"/>
          <w:highlight w:val="green"/>
          <w:lang w:eastAsia="es-CO"/>
        </w:rPr>
        <w:t>tales como la alimentación, habitación o vestuario, las primas extralegales, de vacaciones, de servicios o de navidad. (Artículo 128 C.S.T).</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En el evento en que la Unidad Administrativa Especial de Gestión Pensional y Contribuciones Parafiscales de la Protección Social (UGPP) identifique pagos constitutivos </w:t>
      </w:r>
      <w:r w:rsidRPr="00FE0199">
        <w:rPr>
          <w:rFonts w:eastAsia="Times New Roman" w:cs="Times New Roman"/>
          <w:szCs w:val="24"/>
          <w:lang w:eastAsia="es-CO"/>
        </w:rPr>
        <w:lastRenderedPageBreak/>
        <w:t>de salario en el contenido de los Acuerdos, las mismas deberán incorporarse a la base de cotización de los aportes;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h) </w:t>
      </w:r>
      <w:r w:rsidRPr="002D60CD">
        <w:rPr>
          <w:rFonts w:eastAsia="Times New Roman" w:cs="Times New Roman"/>
          <w:szCs w:val="24"/>
          <w:highlight w:val="green"/>
          <w:lang w:eastAsia="es-CO"/>
        </w:rPr>
        <w:t>Los aportes de las entidades patrocinadoras a los fondos de pensiones voluntarias, no constituyen salario y no se tomarán en cuenta para liquidar prestaciones sociales.</w:t>
      </w:r>
      <w:r w:rsidRPr="00FE0199">
        <w:rPr>
          <w:rFonts w:eastAsia="Times New Roman" w:cs="Times New Roman"/>
          <w:szCs w:val="24"/>
          <w:lang w:eastAsia="es-CO"/>
        </w:rPr>
        <w:t xml:space="preserve"> Las prestaciones percibidas en virtud del plan son independientes del régimen de seguridad social y de cualquier otro régimen pensional. En consecuencia, salvo lo dispuesto en materia tributaria, no les serán aplicables las reglas previstas para pensiones de jubilación, vejez o invalidez. (Numeral 3 del artículo 169 del Decreto-ley 663/93 Estatuto Orgánico del Sistema Financiero).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Esta disposición es consonante con el literal b) del numeral 2, inciso segundo del artículo 173 del Decreto-ley 663/93 Estatuto Orgánico del Sistema Financiero, que dispone que los planes de pensiones pueden ser entre otros abiertos o institucionales, y los institucionales corresponden a las entidades patrocinadoras.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consecuencia, los aportes de las entidades patrocinadoras no constitutivos de salario a que se refiere el numeral 3 del artículo 169 del Decreto-ley 663 de 1993, son los pagados en virtud de un plan institucional aprobado por la Superintendencia Financiera de Colombia.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2. De la aplicación del artículo 30 de la Ley 1393 de 2010 para la determinación de la base de los aportes al Sistema de la Seguridad Social Integral, Salud, Pensión y Riesgos Laborales. </w:t>
      </w:r>
      <w:r w:rsidRPr="00FE0199">
        <w:rPr>
          <w:rFonts w:eastAsia="Times New Roman" w:cs="Times New Roman"/>
          <w:szCs w:val="24"/>
          <w:lang w:eastAsia="es-CO"/>
        </w:rPr>
        <w:t>En la aplicación del artículo 30 de la Ley 1393 de 2010 que dispone que sin perjuicio de lo previsto para otros fines, para los efectos relacionados con los artículos 18 y 204 de la Ley 100/93, los pagos laborales no constitutivos de salario de los trabajadores particulares no podrán ser superiores al cuarenta (40%) del total de la remuneración, la Unidad deberá tener en cuenta: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 Que la disposición aplica exclusivamente para efectos de la adecuada determinación de la base de cotización de los aportes al Sistema de la Seguridad Social Integral: salud, pensión y riesgos laborales;</w:t>
      </w:r>
    </w:p>
    <w:p w:rsidR="00FE0199" w:rsidRDefault="00FE0199" w:rsidP="00FE0199">
      <w:pPr>
        <w:spacing w:after="0" w:line="240" w:lineRule="auto"/>
        <w:jc w:val="both"/>
        <w:rPr>
          <w:rFonts w:eastAsia="Times New Roman" w:cs="Times New Roman"/>
          <w:szCs w:val="24"/>
          <w:lang w:eastAsia="es-CO"/>
        </w:rPr>
      </w:pPr>
    </w:p>
    <w:p w:rsid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b) Que para efectos de la aplicación del límite del cuarenta por ciento (40%) establecido en el artículo 30 de la Ley 1393 de 2010, los pagos laborales no constitutivos de salario que deben tenerse en cuenta son los enunciados en la Sección II, numeral 1, literales a), b), c) d),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 f), g) y h) de este Acuerdo, que corresponden a los previstos en los artículos 128 y 130 del Código Sustantivo del Trabajo, artículo 2° de la Ley 15/59 y numeral 3 del artículo 169 y literal b) del numeral 2, inciso 2°, del artículo 173 del Decreto-ley 663/93;</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 La expresión </w:t>
      </w:r>
      <w:r w:rsidRPr="00FE0199">
        <w:rPr>
          <w:rFonts w:eastAsia="Times New Roman" w:cs="Times New Roman"/>
          <w:b/>
          <w:bCs/>
          <w:szCs w:val="24"/>
          <w:lang w:eastAsia="es-CO"/>
        </w:rPr>
        <w:t>“total de la remuneración” </w:t>
      </w:r>
      <w:r w:rsidRPr="00FE0199">
        <w:rPr>
          <w:rFonts w:eastAsia="Times New Roman" w:cs="Times New Roman"/>
          <w:szCs w:val="24"/>
          <w:lang w:eastAsia="es-CO"/>
        </w:rPr>
        <w:t>contenida en la parte final del artículo 30 de la Ley 1393 de 2010, se refiere a la totalidad de los ingresos que recibe el trabajador en el respectivo mes por todo concepto;</w:t>
      </w:r>
    </w:p>
    <w:p w:rsidR="00FE0199" w:rsidRDefault="00FE0199"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d) Conforme con lo dispuesto en el artículo 30 de la Ley 1393/10, la Unidad de Gestión Pensional y Contribuciones Parafiscales de la Protección Social (UGPP) incorporará a la base </w:t>
      </w:r>
      <w:r w:rsidRPr="00FE0199">
        <w:rPr>
          <w:rFonts w:eastAsia="Times New Roman" w:cs="Times New Roman"/>
          <w:szCs w:val="24"/>
          <w:lang w:eastAsia="es-CO"/>
        </w:rPr>
        <w:lastRenderedPageBreak/>
        <w:t>de cotización de los aportes a salud, pensión y riesgos laborales, los pagos no constitutivos de salario del respectivo mes, que excedan el 40% del total de la remuneración en el mismo período, de conformidad con lo establecido en los literales b) y c) del presente numeral.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xml:space="preserve">3. De los pagos por mera liberalidad y </w:t>
      </w:r>
      <w:proofErr w:type="spellStart"/>
      <w:r w:rsidRPr="00FE0199">
        <w:rPr>
          <w:rFonts w:eastAsia="Times New Roman" w:cs="Times New Roman"/>
          <w:b/>
          <w:bCs/>
          <w:szCs w:val="24"/>
          <w:lang w:eastAsia="es-CO"/>
        </w:rPr>
        <w:t>ocasionalidad</w:t>
      </w:r>
      <w:proofErr w:type="spellEnd"/>
      <w:r w:rsidRPr="00FE0199">
        <w:rPr>
          <w:rFonts w:eastAsia="Times New Roman" w:cs="Times New Roman"/>
          <w:b/>
          <w:bCs/>
          <w:szCs w:val="24"/>
          <w:lang w:eastAsia="es-CO"/>
        </w:rPr>
        <w:t xml:space="preserve"> para la determinación de la base de cotización de los aportes al sistema de la protección social. </w:t>
      </w:r>
      <w:r w:rsidRPr="00FE0199">
        <w:rPr>
          <w:rFonts w:eastAsia="Times New Roman" w:cs="Times New Roman"/>
          <w:szCs w:val="24"/>
          <w:lang w:eastAsia="es-CO"/>
        </w:rPr>
        <w:t>Conforme con lo previsto en la primera parte del inciso primero del artículo 128 del Código Sustantivo del Trabajo, no constituyen salario las sumas que ocasionalmente y por mera liberalidad recibe el trabajador del empleador, como primas, bonificaciones o gratificaciones ocasionales, participación de utilidades, excedentes de las empresas de economía solidaria.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consecuencia para los efectos de la determinación de la base de cotización de las contribuciones al Sistema General de Seguridad Social Integral en Salud, Pensiones, y Riesgos Laborales, Sena, ICBF y Régimen del Subsidio Familiar, la Unidad de Gestión Pensional y Contribuciones Parafiscales de la Protección Social (UGPP) debe verificar que los pagos calificados por el empleador como de mera liberalidad hayan sido concedidos de manera ocasional por la voluntad y autonomía del empleador, que no constituyan salario en virtud de la ley, el contrato de trabajo, la convención o pacto colectivo, que no resulten exigibles por el trabajador, y por lo tanto pueden ser revocados o modificados unilateralmente por el empleador en cualquier momento.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Así mismo debe verificar que estos pagos son ocasionales, es decir que se originan en eventos excepcionales e inusuales dentro del respectivo año fiscal.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Lo anterior no obsta para que pueda efectuarse más de un pago en el año fiscal, originado en eventos distintos, tales como los que enuncia el artículo 128 del C. Sustantivo del Trabajo y las bonificación por antigüedad, bonificación por navidad, bonificación por retiro, entre otros.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La Unidad de Gestión Pensional y Contribuciones Parafiscales de la Protección Social (UGPP) deberá tener en cuenta que para que los pagos aquí definidos no hagan parte de la base de cotización de los aportes al Sistema de la Protección Social, deberán concurrir las condiciones de mera liberalidad y </w:t>
      </w:r>
      <w:proofErr w:type="spellStart"/>
      <w:r w:rsidRPr="00FE0199">
        <w:rPr>
          <w:rFonts w:eastAsia="Times New Roman" w:cs="Times New Roman"/>
          <w:szCs w:val="24"/>
          <w:lang w:eastAsia="es-CO"/>
        </w:rPr>
        <w:t>ocasionalidad</w:t>
      </w:r>
      <w:proofErr w:type="spellEnd"/>
      <w:r w:rsidRPr="00FE0199">
        <w:rPr>
          <w:rFonts w:eastAsia="Times New Roman" w:cs="Times New Roman"/>
          <w:szCs w:val="24"/>
          <w:lang w:eastAsia="es-CO"/>
        </w:rPr>
        <w:t xml:space="preserve"> de lo contrario, harán parte de dicha base.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4. De la base de cotización del salario integral.</w:t>
      </w:r>
      <w:r w:rsidRPr="00FE0199">
        <w:rPr>
          <w:rFonts w:eastAsia="Times New Roman" w:cs="Times New Roman"/>
          <w:szCs w:val="24"/>
          <w:lang w:eastAsia="es-CO"/>
        </w:rPr>
        <w:t> La Unidad de Gestión Pensional y Contribuciones Parafiscales de la Protección Social (UGPP) verificará que las cotizaciones de los aportes al Sistema de la Protección Social de los trabajadores cuya remuneración se pacte bajo la modalidad de salario integral, se liquiden sobre el 70% del mismo, aunque el ingreso base de cotización resulte inferior a los 10 SMLMV establecidos en el inciso 2° del artículo 132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Para efectos de esta liquidación se entenderá que el salario integral corresponde en todos los casos al valor que resulte de sumar el factor salarial y el factor prestacional estipulados por el empleador y el trabajador en los términos del artículo 132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Segundo.</w:t>
      </w:r>
      <w:r w:rsidRPr="00FE0199">
        <w:rPr>
          <w:rFonts w:eastAsia="Times New Roman" w:cs="Times New Roman"/>
          <w:szCs w:val="24"/>
          <w:lang w:eastAsia="es-CO"/>
        </w:rPr>
        <w:t> </w:t>
      </w:r>
      <w:r w:rsidRPr="00FE0199">
        <w:rPr>
          <w:rFonts w:eastAsia="Times New Roman" w:cs="Times New Roman"/>
          <w:i/>
          <w:iCs/>
          <w:szCs w:val="24"/>
          <w:lang w:eastAsia="es-CO"/>
        </w:rPr>
        <w:t>Políticas de que trata el presente acuerdo</w:t>
      </w:r>
      <w:r w:rsidRPr="00FE0199">
        <w:rPr>
          <w:rFonts w:eastAsia="Times New Roman" w:cs="Times New Roman"/>
          <w:szCs w:val="24"/>
          <w:lang w:eastAsia="es-CO"/>
        </w:rPr>
        <w:t>. Las políticas definidas, formuladas, y adoptadas, en el presente Acuerdo para el mejoramiento continuo en el proceso de determinación, liquidación y pago de los Aportes al Sistema de la Protección Social, se formulan en ejercicio de los numerales 9 y 2 del artículo 2° del Decreto número 4168 de 2011, para los fines de que tratan estas disposiciones.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Tercero.</w:t>
      </w:r>
      <w:r w:rsidRPr="00FE0199">
        <w:rPr>
          <w:rFonts w:eastAsia="Times New Roman" w:cs="Times New Roman"/>
          <w:szCs w:val="24"/>
          <w:lang w:eastAsia="es-CO"/>
        </w:rPr>
        <w:t> </w:t>
      </w:r>
      <w:r w:rsidRPr="00FE0199">
        <w:rPr>
          <w:rFonts w:eastAsia="Times New Roman" w:cs="Times New Roman"/>
          <w:i/>
          <w:iCs/>
          <w:szCs w:val="24"/>
          <w:lang w:eastAsia="es-CO"/>
        </w:rPr>
        <w:t>Seguimiento de políticas adoptadas. </w:t>
      </w:r>
      <w:r w:rsidRPr="00FE0199">
        <w:rPr>
          <w:rFonts w:eastAsia="Times New Roman" w:cs="Times New Roman"/>
          <w:szCs w:val="24"/>
          <w:lang w:eastAsia="es-CO"/>
        </w:rPr>
        <w:t>La Unidad Administrativa Especial de Gestión Pensional y Contribuciones Parafiscales de la Protección Social (UGPP), presentará un informe trimestral al Consejo Directivo, respecto del impacto e incidencia en la implementación las políticas contenidas en el presente acuerdo.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Cuarto.</w:t>
      </w:r>
      <w:r w:rsidRPr="00FE0199">
        <w:rPr>
          <w:rFonts w:eastAsia="Times New Roman" w:cs="Times New Roman"/>
          <w:szCs w:val="24"/>
          <w:lang w:eastAsia="es-CO"/>
        </w:rPr>
        <w:t> </w:t>
      </w:r>
      <w:r w:rsidRPr="00FE0199">
        <w:rPr>
          <w:rFonts w:eastAsia="Times New Roman" w:cs="Times New Roman"/>
          <w:i/>
          <w:iCs/>
          <w:szCs w:val="24"/>
          <w:lang w:eastAsia="es-CO"/>
        </w:rPr>
        <w:t>Anexo Técnico. </w:t>
      </w:r>
      <w:r w:rsidRPr="00FE0199">
        <w:rPr>
          <w:rFonts w:eastAsia="Times New Roman" w:cs="Times New Roman"/>
          <w:szCs w:val="24"/>
          <w:lang w:eastAsia="es-CO"/>
        </w:rPr>
        <w:t>Las políticas adoptadas atienden las disposiciones señaladas en el anexo técnico que forma parte integral del presente acuerdo.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Quinto.</w:t>
      </w:r>
      <w:r w:rsidRPr="00FE0199">
        <w:rPr>
          <w:rFonts w:eastAsia="Times New Roman" w:cs="Times New Roman"/>
          <w:szCs w:val="24"/>
          <w:lang w:eastAsia="es-CO"/>
        </w:rPr>
        <w:t> </w:t>
      </w:r>
      <w:r w:rsidRPr="00FE0199">
        <w:rPr>
          <w:rFonts w:eastAsia="Times New Roman" w:cs="Times New Roman"/>
          <w:i/>
          <w:iCs/>
          <w:szCs w:val="24"/>
          <w:lang w:eastAsia="es-CO"/>
        </w:rPr>
        <w:t>Vigencia</w:t>
      </w:r>
      <w:r w:rsidRPr="00FE0199">
        <w:rPr>
          <w:rFonts w:eastAsia="Times New Roman" w:cs="Times New Roman"/>
          <w:szCs w:val="24"/>
          <w:lang w:eastAsia="es-CO"/>
        </w:rPr>
        <w:t>. El presente acuerdo rige a partir de la fecha de su publicación. Las políticas adoptadas deberán aplicarse de manera inmediata a los procesos administrativos que se encuentren en curso.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Publíquese y cúmplase.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Dado en Bogotá, D. C., a 29 de octubre de 2015.</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La Presidenta, Delegada del Ministro de Hacienda y Crédito Público,</w:t>
      </w:r>
    </w:p>
    <w:p w:rsidR="00FE0199" w:rsidRPr="00FE0199" w:rsidRDefault="00FE0199" w:rsidP="00FE0199">
      <w:pPr>
        <w:spacing w:after="0" w:line="240" w:lineRule="auto"/>
        <w:jc w:val="right"/>
        <w:rPr>
          <w:rFonts w:eastAsia="Times New Roman" w:cs="Times New Roman"/>
          <w:szCs w:val="24"/>
          <w:lang w:eastAsia="es-CO"/>
        </w:rPr>
      </w:pPr>
      <w:r w:rsidRPr="00FE0199">
        <w:rPr>
          <w:rFonts w:eastAsia="Times New Roman" w:cs="Times New Roman"/>
          <w:b/>
          <w:bCs/>
          <w:i/>
          <w:i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i/>
          <w:iCs/>
          <w:szCs w:val="24"/>
          <w:lang w:eastAsia="es-CO"/>
        </w:rPr>
        <w:t>Claudia Isabel González Sánchez.</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El Secretario,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i/>
          <w:i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i/>
          <w:iCs/>
          <w:szCs w:val="24"/>
          <w:lang w:eastAsia="es-CO"/>
        </w:rPr>
        <w:t>Carlos Eduardo Umaña Lizarazo.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Default="00FE0199" w:rsidP="006D412E">
      <w:pPr>
        <w:spacing w:after="0" w:line="240" w:lineRule="auto"/>
        <w:jc w:val="center"/>
        <w:rPr>
          <w:rFonts w:eastAsia="Times New Roman" w:cs="Times New Roman"/>
          <w:b/>
          <w:bCs/>
          <w:szCs w:val="24"/>
          <w:lang w:eastAsia="es-CO"/>
        </w:rPr>
      </w:pPr>
      <w:r w:rsidRPr="00FE0199">
        <w:rPr>
          <w:rFonts w:eastAsia="Times New Roman" w:cs="Times New Roman"/>
          <w:b/>
          <w:bCs/>
          <w:szCs w:val="24"/>
          <w:lang w:eastAsia="es-CO"/>
        </w:rPr>
        <w:t>ANEXO TÉCNICO</w:t>
      </w:r>
    </w:p>
    <w:p w:rsidR="00FE0199" w:rsidRPr="00FE0199" w:rsidRDefault="00FE0199" w:rsidP="006D412E">
      <w:pPr>
        <w:spacing w:after="0" w:line="240" w:lineRule="auto"/>
        <w:jc w:val="center"/>
        <w:rPr>
          <w:rFonts w:eastAsia="Times New Roman" w:cs="Times New Roman"/>
          <w:szCs w:val="24"/>
          <w:lang w:eastAsia="es-CO"/>
        </w:rPr>
      </w:pPr>
    </w:p>
    <w:p w:rsidR="00FE0199" w:rsidRPr="00FE0199" w:rsidRDefault="00FE0199" w:rsidP="006D412E">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ACUERDO NÚMERO 1035 DE 29 DE OCTUBRE DE 2015</w:t>
      </w:r>
    </w:p>
    <w:p w:rsidR="00FE0199" w:rsidRPr="00FE0199" w:rsidRDefault="00FE0199" w:rsidP="006D412E">
      <w:pPr>
        <w:spacing w:after="0" w:line="240" w:lineRule="auto"/>
        <w:jc w:val="center"/>
        <w:rPr>
          <w:rFonts w:eastAsia="Times New Roman" w:cs="Times New Roman"/>
          <w:szCs w:val="24"/>
          <w:lang w:eastAsia="es-CO"/>
        </w:rPr>
      </w:pPr>
    </w:p>
    <w:p w:rsidR="00FE0199" w:rsidRPr="00FE0199" w:rsidRDefault="00FE0199" w:rsidP="006D412E">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CONSEJO DIRECTIVO</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i/>
          <w:iCs/>
          <w:szCs w:val="24"/>
          <w:lang w:eastAsia="es-CO"/>
        </w:rPr>
        <w:t> </w:t>
      </w:r>
    </w:p>
    <w:p w:rsidR="00FE0199" w:rsidRPr="00FE0199" w:rsidRDefault="00FE0199" w:rsidP="00FE0199">
      <w:pPr>
        <w:spacing w:after="0" w:line="240" w:lineRule="auto"/>
        <w:jc w:val="center"/>
        <w:rPr>
          <w:rFonts w:eastAsia="Times New Roman" w:cs="Times New Roman"/>
          <w:szCs w:val="24"/>
          <w:lang w:eastAsia="es-CO"/>
        </w:rPr>
      </w:pPr>
      <w:proofErr w:type="gramStart"/>
      <w:r w:rsidRPr="00FE0199">
        <w:rPr>
          <w:rFonts w:eastAsia="Times New Roman" w:cs="Times New Roman"/>
          <w:i/>
          <w:iCs/>
          <w:szCs w:val="24"/>
          <w:lang w:eastAsia="es-CO"/>
        </w:rPr>
        <w:t>por</w:t>
      </w:r>
      <w:proofErr w:type="gramEnd"/>
      <w:r w:rsidRPr="00FE0199">
        <w:rPr>
          <w:rFonts w:eastAsia="Times New Roman" w:cs="Times New Roman"/>
          <w:i/>
          <w:iCs/>
          <w:szCs w:val="24"/>
          <w:lang w:eastAsia="es-CO"/>
        </w:rPr>
        <w:t xml:space="preserve"> el cual se define, formula, y adopta, para la Unidad Administrativa Especial de Gestión Pensional y Contribuciones Parafiscales de la Protección Social (UGPP), la política de mejoramiento continuo en el proceso de determinación, liquidación y pago de los aportes al Sistema de la Protección Social.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A. NORMAS RELATIVAS A LA COMPETENCIA DE LA UNIDAD</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lastRenderedPageBreak/>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Artículo 156 de la Ley 1151 de 2007:</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Gestión de Obligaciones Pensionales y Contribuciones Parafiscales de la Protección Social. </w:t>
      </w:r>
      <w:r w:rsidRPr="00FE0199">
        <w:rPr>
          <w:rFonts w:eastAsia="Times New Roman" w:cs="Times New Roman"/>
          <w:szCs w:val="24"/>
          <w:lang w:eastAsia="es-CO"/>
        </w:rPr>
        <w:t>Créase la Unidad Administrativa Especial de Gestión Pensional y Contribuciones Parafiscales de la Protección Social (UGPP) adscrita al Ministerio de Hacienda y Crédito Público, con personería jurídica, autonomía administrativa y patrimonio independiente. Esta Unidad Administrativa tendrá a su cargo: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i) El reconocimiento de derechos pensionales, tales como pensiones y bonos pensionales, salvo los bonos que sean responsabilidad de la Nación, así como auxilios funerarios, causados a cargo de administradoras del Régimen de Prima Media del orden nacional, y de las entidades públicas del orden nacional que hayan tenido a su cargo el reconocimiento de pensiones, respecto de las cuales se haya decretado o se decrete su liquidación. Para lo anterior, la entidad ejercerá todas las gestiones inherentes a este numeral, tales como la administración de base de datos, nóminas, archivos y asignaciones al Gobierno nacional en el artículo 20 de la Ley 797 de 2003;</w:t>
      </w:r>
    </w:p>
    <w:p w:rsidR="00D94154" w:rsidRDefault="00D94154"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ii) Las tareas de seguimiento, colaboración y determinación de la adecuada, completa y oportuna liquidación y pago de las contribuciones parafiscales de la Protección Social. Para este efecto, la UGPP recibirá los hallazgos que le deberán enviar las entidades que administran sistemas de información de contribuciones parafiscales de la Protección Social y podrá solicitar de los empleadores, afiliados, beneficiarios y demás actores administradores de estos recursos parafiscales, la información que estime conveniente para establecer la ocurrencia de los hechos generadores de las obligaciones definidas por la ley, respecto de tales recursos. Esta misma función tendrán las administraciones públicas. Igualmente, la UGPP podrá ejercer funciones de cobro coactivo en armonía con las demás entidades administradoras de estos recursos.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 Unidad tendrá sede en Bogotá, D. C., y su patrimonio estará constituido por los aportes del Presupuesto General de la Nación, los activos que le transfieran la Nación y otras entidades públicas del orden nacional y los demás ingresos que a cualquier título reciba. La Unidad tendrá un Director de Libre Nombramiento y Remoción del Presidente de la República.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De conformidad con el artículo 150 numeral 10 de la Constitución Política, revístese al Presidente de la República de facultades extraordinarias, por el término de seis (6) meses, contados a partir de la fecha de publicación de la presente ley, para expedir normas con fuerza de ley que determinen las funciones y el sistema específico de carrera para los empleados de la entidad. En el ejercicio de estas facultades, el Gobierno tendrá en cuenta las características particulares de cada uno de los subsistemas que conforman Sistema de Seguridad Social Integral y armonizará las funciones de cobro persuasivo y coactivo asignadas a las entidades administradoras de recursos parafiscales y a la UGPP, para lo cual podrá disponer la manera como se utilizarán las bases de datos e información que estén a cargo de las entidades, administradoras y entes de control y vigilancia del Sistema.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 UGPP ejercerá sus funciones de acuerdo con lo que defina la reglamentación que en el ejercicio de sus potestades constitucionales expida el Gobierno nacional, la cual deberá tener en cuenta el objeto y funciones que correspondan a la Administradora de Régimen de Prima Media a que se refiere el artículo anterior, y a las que la Unidad Administrativa Especial le corresponda.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 ejercicio de las funciones de determinación y cobro de contribuciones de la Protección Social por parte de cada una de las entidades integrantes del sistema y de la UGPP, se tendrá en cuenta lo siguiente: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D94154">
        <w:rPr>
          <w:rFonts w:eastAsia="Times New Roman" w:cs="Times New Roman"/>
          <w:szCs w:val="24"/>
          <w:highlight w:val="green"/>
          <w:lang w:eastAsia="es-CO"/>
        </w:rPr>
        <w:t>En lo previsto en este artículo, los procedimientos de liquidación oficial se ajustarán a lo establecido en el Estatuto Tributario, Libro V, Títulos I, IV, V y VI. Igualmente, adelantará el cobro coactivo de acuerdo con lo previsto en la Ley 1066 de 2006.</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las liquidaciones oficiales se liquidarán a título de sanción intereses de mora la misma tasa vigente para efectos tributarios.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Artículos 178 de la Ley 1607 de 2012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Competencia para la determinación y el cobro de las contribuciones parafiscales de la protección social. </w:t>
      </w:r>
      <w:r w:rsidRPr="00FE0199">
        <w:rPr>
          <w:rFonts w:eastAsia="Times New Roman" w:cs="Times New Roman"/>
          <w:szCs w:val="24"/>
          <w:lang w:eastAsia="es-CO"/>
        </w:rPr>
        <w:t>La UGPP será la entidad competente para adelantar las acciones de determinación y cobro de las Contribuciones Parafiscales de la Protección Social, respecto de los omisos e inexactos, sin que se requieran actuaciones persuasivas previas por parte de las administradoras.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1°. </w:t>
      </w:r>
      <w:r w:rsidRPr="00FE0199">
        <w:rPr>
          <w:rFonts w:eastAsia="Times New Roman" w:cs="Times New Roman"/>
          <w:szCs w:val="24"/>
          <w:lang w:eastAsia="es-CO"/>
        </w:rPr>
        <w:t>Las administradoras del Sistema de la Protección Social continuarán adelantando las acciones de cobro de la mora registrada de sus afiliados, para tal efecto las administradoras estarán obligadas a aplicar los estándares de procesos que fije la UGPP.</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 UGPP conserva la facultad de adelantar el cobro sobre aquellos casos que considere conveniente adelantarlo directamente y de forma preferente, sin que esto implique que las administradoras se eximan de las responsabilidades fijadas legalmente por la omisión en el cobro de los aportes.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2°. </w:t>
      </w:r>
      <w:r w:rsidRPr="00FE0199">
        <w:rPr>
          <w:rFonts w:eastAsia="Times New Roman" w:cs="Times New Roman"/>
          <w:szCs w:val="24"/>
          <w:lang w:eastAsia="es-CO"/>
        </w:rPr>
        <w:t>La UGPP podrá iniciar las acciones sancionatorias y de determinación de las Contribuciones Parafiscales de la Protección Social, con la notificación del Requerimiento de Información o del pliego de cargos, dentro de los cinco (5) años siguientes contados a partir de la fecha en que el aportante debió declarar y no declaró, declaró por valores inferiores a los legalmente establecidos o se configuró el hecho sancionable. En los casos en que se presente la declaración de manera extemporánea o se corrija la declaración inicialmente presentada, el término de caducidad se contará desde el momento de la presentación de la declaración extemporánea o corregida.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179 de la Ley 1607 de 2012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lastRenderedPageBreak/>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Sanciones</w:t>
      </w:r>
      <w:r w:rsidRPr="00FE0199">
        <w:rPr>
          <w:rFonts w:eastAsia="Times New Roman" w:cs="Times New Roman"/>
          <w:szCs w:val="24"/>
          <w:lang w:eastAsia="es-CO"/>
        </w:rPr>
        <w:t>. La UGPP será la entidad competente para imponer las sanciones de que trata el presente artículo y las mismas se aplicarán sin perjuicio del cobro de los respectivos intereses moratorios o cálculo actuarial según sea el caso.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1. El aportante que omita la afiliación y/o vinculación y no pague los aportes al Sistema de la Protección Social en la fecha establecida para tal fin, deberá liquidar y pagar una sanción por cada mes o fracción de mes de retardo, de acuerdo al número de empleados, la cual aumentará si el pago se realiza con ocasión de la notificación del Requerimiento para Declarar o la liquidación Oficial proferidos por la UGPP, conforme a los siguientes porcentajes del valor del aporte mensual a cargo:</w:t>
      </w:r>
    </w:p>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92"/>
        <w:gridCol w:w="2518"/>
        <w:gridCol w:w="2441"/>
        <w:gridCol w:w="2067"/>
      </w:tblGrid>
      <w:tr w:rsidR="00FE0199" w:rsidRPr="00FE0199" w:rsidTr="00FE019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Rangos de empleados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Sanción antes de la notificación del requerimiento para declarar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Sanción con la notificación del requerimiento para declarar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b/>
                <w:bCs/>
                <w:szCs w:val="24"/>
                <w:lang w:eastAsia="es-CO"/>
              </w:rPr>
              <w:t>Sanción con la notificación de la liquidación oficial</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6,0%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11-30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8,0%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31-60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10,0%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61-90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12,0%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91-150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14,0%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&gt;150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16,0%</w:t>
            </w:r>
          </w:p>
        </w:tc>
      </w:tr>
      <w:tr w:rsidR="00FE0199" w:rsidRPr="00FE0199" w:rsidTr="00FE019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Independientes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E0199" w:rsidRPr="00FE0199" w:rsidRDefault="00FE0199" w:rsidP="00FE0199">
            <w:pPr>
              <w:spacing w:after="0" w:line="240" w:lineRule="auto"/>
              <w:jc w:val="center"/>
              <w:rPr>
                <w:rFonts w:eastAsia="Times New Roman" w:cs="Times New Roman"/>
                <w:szCs w:val="24"/>
                <w:lang w:eastAsia="es-CO"/>
              </w:rPr>
            </w:pPr>
            <w:r w:rsidRPr="00FE0199">
              <w:rPr>
                <w:rFonts w:eastAsia="Times New Roman" w:cs="Times New Roman"/>
                <w:szCs w:val="24"/>
                <w:lang w:eastAsia="es-CO"/>
              </w:rPr>
              <w:t>12,0%</w:t>
            </w:r>
          </w:p>
        </w:tc>
      </w:tr>
    </w:tbl>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2. El aportante que corrija por inexactitud las autoliquidaciones de las Contribuciones Parafiscales de la Protección Social, sin que medie Requerimiento de Información de la UGPP, deberá liquidar y pagar una sanción equivalente al 5% del mayor valor a pagar, que se genere entre la corrección y la declaración inicial.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Cuando la UGPP notifique el primer Requerimiento de Información, la sanción aumentará al 20%.</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Cuando la UGPP notifique el Requerimiento para Corregir, la sanción aumentará al 35%.</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Si la UGPP notifica Liquidación Oficial y determina el valor a pagar a cargo del obligado, impondrá sanción equivalente al 60% de la diferencia existente entre los aportes declarados y dejados de declarar.</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3. Las personas y entidades obligadas a suministrar información a la UGPP, así como aquellas a las que esta entidad les haya solicitado informaciones y/o pruebas, que no la suministren dentro del plazo establecido para ello, se harán acreedoras a una sanción de cinco (5) UVT por cada día de retraso en la entrega de la información solicitada.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4. Las administradoras del Sistema de la Protección Social que incumplan los estándares que la UGPP establezca para el cobro de las Contribuciones Parafiscales de la Protección Social, serán sancionadas hasta por doscientas (200) UVT.</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w:t>
      </w:r>
      <w:r w:rsidRPr="00FE0199">
        <w:rPr>
          <w:rFonts w:eastAsia="Times New Roman" w:cs="Times New Roman"/>
          <w:szCs w:val="24"/>
          <w:lang w:eastAsia="es-CO"/>
        </w:rPr>
        <w:t>. Los recursos recuperados por concepto de las sanciones de que trata el presente artículo serán girados al Tesoro Nacional.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180 de la Ley 1607 de 2012 (Modificado por el artículo 50 de Ley 1739 de 2014)</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Procedimiento aplicable a la determinación oficial de las contribuciones parafiscales de la protección social y a la imposición de sanciones por la UGPP. </w:t>
      </w:r>
      <w:r w:rsidRPr="00FE0199">
        <w:rPr>
          <w:rFonts w:eastAsia="Times New Roman" w:cs="Times New Roman"/>
          <w:szCs w:val="24"/>
          <w:lang w:eastAsia="es-CO"/>
        </w:rPr>
        <w:t>Previo a la expedición de la Liquidación Oficial o la Resolución Sanción, la UGPP enviará un Requerimiento para Declarar o Corregir o un Pliego de Cargos, los cuales deberán ser respondidos por el aportante dentro del mes siguiente a su notificación. Si el aportante no admite la propuesta efectuada en el Requerimiento para Declarar o Corregir o en el Pliego de Cargos, la UGPP procederá a proferir la respectiva liquidación Oficial o la Resolución Sanción, dentro de los seis (6) meses siguientes.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Contra la Liquidación Oficial o la Resolución Sanción procederá el Recurso de Reconsideración, el cual deberá interponerse dentro de los diez (10) días siguientes a la notificación de la Liquidación Oficial o la Resolución Sanción. La resolución que lo decida se proferirá dentro de los seis (6) meses siguientes a la interposición del recurso.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50 de la Ley 1739 de 2014</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Modifíquese el artículo 180 de la Ley 1607 de 2012, el cual quedará así:</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b/>
          <w:bCs/>
          <w:szCs w:val="24"/>
          <w:lang w:eastAsia="es-CO"/>
        </w:rPr>
        <w:t>“Artículo 180. </w:t>
      </w:r>
      <w:r w:rsidRPr="00FE0199">
        <w:rPr>
          <w:rFonts w:eastAsia="Times New Roman" w:cs="Times New Roman"/>
          <w:b/>
          <w:bCs/>
          <w:i/>
          <w:iCs/>
          <w:szCs w:val="24"/>
          <w:lang w:eastAsia="es-CO"/>
        </w:rPr>
        <w:t>Procedimiento aplicable a la determinación oficial de las contribuciones parafiscales de la protección social y a la imposición de sanciones por la UGPP. </w:t>
      </w:r>
      <w:r w:rsidRPr="00FE0199">
        <w:rPr>
          <w:rFonts w:eastAsia="Times New Roman" w:cs="Times New Roman"/>
          <w:szCs w:val="24"/>
          <w:lang w:eastAsia="es-CO"/>
        </w:rPr>
        <w:t>Previo a la expedición de la Liquidación Oficial o la Resolución Sanción, la UGPP enviará un Requerimiento para Declarar o Corregir o un Pliego de Cargos, los cuales deberán ser respondidos por el aportante dentro de los tres (3) meses siguientes a su notificación. Si el aportante no admite la propuesta efectuada en el Requerimiento para Declarar o Corregir o en el Pliego de Cargos, la UGPP procederá a proferir la respectiva Liquidación Oficial o la Resolución Sanción, dentro de los seis (6) meses siguientes, si hay mérito para ello.</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szCs w:val="24"/>
          <w:lang w:eastAsia="es-CO"/>
        </w:rPr>
        <w:t>Contra la Liquidación Oficial o la Resolución Sanción procederá el Recurso de Reconsideración, el cual deberá interponerse dentro de los dos (2) meses siguientes a la notificación de la Liquidación Oficial o la Resolución Sanción. La resolución que lo decida se deberá proferir y notificar dentro del año siguiente a la interposición del recurso.</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ind w:left="284"/>
        <w:jc w:val="both"/>
        <w:rPr>
          <w:rFonts w:eastAsia="Times New Roman" w:cs="Times New Roman"/>
          <w:szCs w:val="24"/>
          <w:lang w:eastAsia="es-CO"/>
        </w:rPr>
      </w:pPr>
      <w:r w:rsidRPr="00FE0199">
        <w:rPr>
          <w:rFonts w:eastAsia="Times New Roman" w:cs="Times New Roman"/>
          <w:b/>
          <w:bCs/>
          <w:szCs w:val="24"/>
          <w:lang w:eastAsia="es-CO"/>
        </w:rPr>
        <w:t>Parágrafo</w:t>
      </w:r>
      <w:r w:rsidRPr="00FE0199">
        <w:rPr>
          <w:rFonts w:eastAsia="Times New Roman" w:cs="Times New Roman"/>
          <w:szCs w:val="24"/>
          <w:lang w:eastAsia="es-CO"/>
        </w:rPr>
        <w:t xml:space="preserve">. Las sanciones por omisión e inexactitud previstas en el artículo 179 de la Ley 1607 de 2012 no serán aplicables a los aportantes que declaren o corrijan sus </w:t>
      </w:r>
      <w:r w:rsidRPr="00FE0199">
        <w:rPr>
          <w:rFonts w:eastAsia="Times New Roman" w:cs="Times New Roman"/>
          <w:szCs w:val="24"/>
          <w:lang w:eastAsia="es-CO"/>
        </w:rPr>
        <w:lastRenderedPageBreak/>
        <w:t>autoliquidaciones con anterioridad a la notificación del requerimiento de información que realice la UGPP”.</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B. NORMA RELATIVA A LOS PAGOS NO CONSTITUTIVOS DE SALARIO A LOS CUALES SE LES APLICA EL LÍMITE DEL 40% PARA EFECTOS DE INTEGRAR LA BASE DE COTIZACIÓN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30 de la Ley 1393 de 2010</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Sin perjuicio de lo previsto para otros fines, para los efectos relacionados con los artículos 18 y 204 de la Ley 100 de 1993, los pagos laborales no constitutivos de salario de los trabajadores particulares no podrán ser superiores al 40% del total de la remuneración.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C. NORMA RELATIVA A LA BASE DE COTIZACIÓN DE APORTES AL SUBSIDIO FAMILIAR, SENA E ICBF</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17 de la Ley 21 de 1982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Para efectos de la liquidación de los aportes al Régimen del Subsidio Familiar, Servicio Nacional de Aprendizaje (Sena), Escuela Superior de Administración (ESAP), Escuelas Industriales e Institutos Técnicos, se entiende por nómina mensual de salarios la totalidad de los pagos hechos por concepto de los diferentes elementos integrantes del salario en los pagos hechos por concepto de los diferentes elementos integrantes del salario en los términos de la Ley Laboral, cualquiera que sea su denominación y además, los verificados por descansos remunerados de ley y convencionales o contractuales.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Los pagos hechos en moneda extranjera deberán incluirse en la respectiva nómina, liquidados al tipo de cambio oficial y vigente el último día del mes al cual corresponde el pago.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D. NORMAS RELATIVAS A LA BASE DE COTIZACIÓN DE APORTES A SALUD Y PENSIÓN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18 de la Ley 100 de 1993</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 base para calcular las cotizaciones a que hace referencia el artículo anterior será el salario mensual.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 salario base de cotización para los trabajadores particulares será el que resulte de aplicar lo dispuesto en 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 salario mensual base de cotización para los servidores del sector público será el que señale el Gobierno, de conformidad con lo dispuesto en la Ley 4ª de 1992.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El límite de la base de cotización será de veinticinco (25) salarios mínimos legales mensuales vigentes para trabajadores del sector público y privado. Cuando se devenguen mensualmente </w:t>
      </w:r>
      <w:r w:rsidRPr="00FE0199">
        <w:rPr>
          <w:rFonts w:eastAsia="Times New Roman" w:cs="Times New Roman"/>
          <w:szCs w:val="24"/>
          <w:lang w:eastAsia="es-CO"/>
        </w:rPr>
        <w:lastRenderedPageBreak/>
        <w:t>más de veinticinco (25) salarios mínimos legales mensuales vigentes la base de cotización será reglamentada por el Gobierno nacional y podrá ser hasta de 45 salarios mínimos legales mensuales para garantizar pensiones hasta de veinticinco (25) salarios mínimos legales.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Las cotizaciones de los trabajadores cuya remuneración se pacte bajo la modalidad de salario integral, se calculará sobre el 70% de dicho salario.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1°. </w:t>
      </w:r>
      <w:r w:rsidRPr="00FE0199">
        <w:rPr>
          <w:rFonts w:eastAsia="Times New Roman" w:cs="Times New Roman"/>
          <w:szCs w:val="24"/>
          <w:lang w:eastAsia="es-CO"/>
        </w:rPr>
        <w:t>En aquellos casos en los cuales el afiliado perciba salario de dos o más empleadores, o ingresos como trabajador independiente o por prestación de servicios como contratista, en un mismo período de tiempo, las cotizaciones correspondientes serán efectuadas en forma proporcional al salario, o ingreso devengado de cada uno de ellos, y estas se acumularán para todos los efectos de esta ley sin exceder el tope legal. Para estos efectos, será necesario que las cotizaciones al sistema de salud se hagan sobre la misma base.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ningún caso el ingreso base de cotización podrá ser inferior a un salario mínimo legal mensual vigente. Las personas que perciban ingresos inferiores al salario mínimo legal mensual vigente podrán ser beneficiarias del Fondo de Solidaridad Pensional, a efectos de que este le complete la cotización que les haga falta y hasta un salario mínimo legal mensual vigente, de acuerdo con lo previsto en la presente ley.</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204 de la Ley 100 de 1993</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La cotización al Régimen Contributivo de Salud será, a partir del primero (1°) de enero del año 2007, del 12,5% del ingreso o salario base de cotización, el cual no podrá ser inferior al salario mínimo. La cotización a cargo del empleador será del 8.5% y a cargo del empleado del 4%. Uno punto cinco (1,5) de la cotización serán trasladados a la subcuenta de Solidaridad del </w:t>
      </w:r>
      <w:proofErr w:type="spellStart"/>
      <w:r w:rsidRPr="00FE0199">
        <w:rPr>
          <w:rFonts w:eastAsia="Times New Roman" w:cs="Times New Roman"/>
          <w:szCs w:val="24"/>
          <w:lang w:eastAsia="es-CO"/>
        </w:rPr>
        <w:t>Fosyga</w:t>
      </w:r>
      <w:proofErr w:type="spellEnd"/>
      <w:r w:rsidRPr="00FE0199">
        <w:rPr>
          <w:rFonts w:eastAsia="Times New Roman" w:cs="Times New Roman"/>
          <w:szCs w:val="24"/>
          <w:lang w:eastAsia="es-CO"/>
        </w:rPr>
        <w:t xml:space="preserve"> para contribuir a la financiación de los beneficiarios del régimen subsidiado. Las cotizaciones que hoy tienen para salud los regímenes especiales y de excepción se incrementarán en cero punto cinco por ciento (0,5%), a cargo del empleador, que será destinado a la subcuenta de solidaridad para completar el uno punto cinco a los que hace referencia el presente artículo. El cero punto cinco por ciento (0,5%) adicional reemplaza en parte el incremento del punto en pensiones aprobado en la Ley 797 de 2003, el cual solo será incrementado por el Gobierno Nacional en cero punto cinco por ciento (0,5%).</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Inciso adicionado por el artículo 1° de la Ley 1250 de 2008. </w:t>
      </w:r>
      <w:r w:rsidRPr="00FE0199">
        <w:rPr>
          <w:rFonts w:eastAsia="Times New Roman" w:cs="Times New Roman"/>
          <w:szCs w:val="24"/>
          <w:lang w:eastAsia="es-CO"/>
        </w:rPr>
        <w:t>El nuevo texto es el siguiente:&gt; La cotización mensual al régimen contributivo de salud de los pensionados será del. 12% del ingreso de la respectiva mesada pensional.</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1°. </w:t>
      </w:r>
      <w:r w:rsidRPr="00FE0199">
        <w:rPr>
          <w:rFonts w:eastAsia="Times New Roman" w:cs="Times New Roman"/>
          <w:szCs w:val="24"/>
          <w:lang w:eastAsia="es-CO"/>
        </w:rPr>
        <w:t>La base de cotización de las personas vinculadas mediante contrato de trabajo o como servidores públicos, afiliados obligatorios al Sistema General de Seguridad Social en Salud, será la misma contemplada en el Sistema General de Pensiones de esta ley.</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2°. </w:t>
      </w:r>
      <w:r w:rsidRPr="00FE0199">
        <w:rPr>
          <w:rFonts w:eastAsia="Times New Roman" w:cs="Times New Roman"/>
          <w:szCs w:val="24"/>
          <w:lang w:eastAsia="es-CO"/>
        </w:rPr>
        <w:t xml:space="preserve">Para efectos de cálculo de la base de cotización de los trabajadores independientes, el Gobierno nacional reglamentará un sistema de presunciones de ingreso con base en información sobre el nivel de educación, la experiencia laboral, las actividades </w:t>
      </w:r>
      <w:r w:rsidRPr="00FE0199">
        <w:rPr>
          <w:rFonts w:eastAsia="Times New Roman" w:cs="Times New Roman"/>
          <w:szCs w:val="24"/>
          <w:lang w:eastAsia="es-CO"/>
        </w:rPr>
        <w:lastRenderedPageBreak/>
        <w:t>económicas, la región de operación y el patrimonio de los individuos. Asimismo, la periodicidad de la cotización para estos trabajadores podrá variar dependiendo de la estabilidad y periodicidad de sus ingresos.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3°. </w:t>
      </w:r>
      <w:r w:rsidRPr="00FE0199">
        <w:rPr>
          <w:rFonts w:eastAsia="Times New Roman" w:cs="Times New Roman"/>
          <w:szCs w:val="24"/>
          <w:lang w:eastAsia="es-CO"/>
        </w:rPr>
        <w:t>Cuando se devenguen mensualmente más de 20 salarios mínimos legales vigentes, la base de cotización podrá ser limitada a dicho monto por el Consejo Nacional de Seguridad Social en Salud.</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Parágrafo 4°. </w:t>
      </w:r>
      <w:r w:rsidRPr="00FE0199">
        <w:rPr>
          <w:rFonts w:eastAsia="Times New Roman" w:cs="Times New Roman"/>
          <w:szCs w:val="24"/>
          <w:lang w:eastAsia="es-CO"/>
        </w:rPr>
        <w:t>&lt;Parágrafo adicionado por el artículo 31 de la Ley 1607 de 2012. El nuevo texto es el siguiente:&gt; A partir del 1° de enero de 2014, estarán exoneradas de la cotización al Régimen Contributivo de Salud del que trata este artículo, las sociedades y personas jurídicas y asimiladas contribuyentes declarantes del impuesto sobre la renta y complementarios, por sus trabajadores que devenguen hasta diez (10) salarios mínimos legales mensuales vigentes.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E. NORMA RELATIVA A LA BASE DE COTIZACIÓN DE APORTES AL SISTEMA DE RIESGOS LABORALES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17 del Decreto-ley 1295 de 1994</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Base de Cotización. </w:t>
      </w:r>
      <w:r w:rsidRPr="00FE0199">
        <w:rPr>
          <w:rFonts w:eastAsia="Times New Roman" w:cs="Times New Roman"/>
          <w:szCs w:val="24"/>
          <w:lang w:eastAsia="es-CO"/>
        </w:rPr>
        <w:t>La base para calcular las cotizaciones del Sistema General de Riesgos Profesionales es la misma determinada para el Sistema General de Pensiones, establecida en los artículos 18 y 19 de la Ley 100 de 1993 y sus decretos reglamentarios.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F. NORMA SOBRE PACTOS DE EXCLUSIÓN SALARIAL QUE NO HACEN PARTE DE LA BASE DE APORTES AL SISTEMA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17 de la Ley 344 de 1996</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xml:space="preserve">Por efecto de lo dispuesto en el artículo 128 del Código Sustantivo del Trabajo, modificado por el artículo 15 de la Ley 50 de 1990, se entiende que los acuerdos entre empleadores y trabajadores sobre los pagos que no constituyen salario y los pagos por auxilio de transporte no hacen parte de la base para liquidar los aportes con destino al Servicio Nacional de Aprendizaje (SENA), Instituto Colombiano de Bienestar Familiar (ICBF), Escuela Superior de Administración Pública (ESAP), Régimen del Subsidio Familiar </w:t>
      </w:r>
      <w:r w:rsidRPr="00D94154">
        <w:rPr>
          <w:rFonts w:eastAsia="Times New Roman" w:cs="Times New Roman"/>
          <w:szCs w:val="24"/>
          <w:highlight w:val="green"/>
          <w:lang w:eastAsia="es-CO"/>
        </w:rPr>
        <w:t>y Contribuciones a la Seguridad Social establecidas por la Ley 100 de 1993.</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Las Entidades Públicas que vienen atendiendo en forma directa y por convención colectiva el pago del subsidio familiar, podrán seguirlo haciendo de esa forma, sin que sea obligatorio hacerlo a través de una Caja de Compensación Familiar. En los términos del presente artículo se entiende cumplida por las Entidades Públicas aquí mencionadas la obligación prevista en el artículo 15 de la Ley 21 de 1982.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G. NORMAS DEL CÓDIGO SUSTANTIVO DE TRABAJO QUE TIENEN INCIDENCIA EN LA DETERMINACIÓN DEL INGRESO BASE DE COTIZACIÓN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lastRenderedPageBreak/>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127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Elementos Integrantes. Constituye salario no solo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128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Pagos que no constituyen salario. </w:t>
      </w:r>
      <w:r w:rsidRPr="006D412E">
        <w:rPr>
          <w:rFonts w:eastAsia="Times New Roman" w:cs="Times New Roman"/>
          <w:b/>
          <w:szCs w:val="24"/>
          <w:u w:val="single"/>
          <w:lang w:eastAsia="es-CO"/>
        </w:rPr>
        <w:t>No constituyen salario las sumas que ocasionalmente y por mera liberalidad recibe el trabajador del empleador</w:t>
      </w:r>
      <w:r w:rsidRPr="00FE0199">
        <w:rPr>
          <w:rFonts w:eastAsia="Times New Roman" w:cs="Times New Roman"/>
          <w:szCs w:val="24"/>
          <w:lang w:eastAsia="es-CO"/>
        </w:rPr>
        <w:t xml:space="preserve">,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w:t>
      </w:r>
      <w:bookmarkStart w:id="0" w:name="_GoBack"/>
      <w:bookmarkEnd w:id="0"/>
      <w:r w:rsidRPr="00FE0199">
        <w:rPr>
          <w:rFonts w:eastAsia="Times New Roman" w:cs="Times New Roman"/>
          <w:szCs w:val="24"/>
          <w:lang w:eastAsia="es-CO"/>
        </w:rPr>
        <w:t>prestaciones sociales de que tratan los Títulos VIII y IX,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130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Viáticos.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1. Los viáticos permanentes constituyen salario en aquella parte destinada a proporcionar al trabajador manutención y alojamiento: pero no en lo que solo tenga por finalidad proporcionar los medios de transporte o los gastos de representación.</w:t>
      </w:r>
    </w:p>
    <w:p w:rsidR="00D94154" w:rsidRDefault="00D94154"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2. Siempre que se paguen debe especificarse el valor de cada uno de estos conceptos.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3. Los viáticos accidentales no constituyen salario en ningún caso. Son viáticos accidentales aquéllos que solo se dan con motivo de un requerimiento extraordinario, no habitual o poco frecuente.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132 del Código Sustantivo del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Formas y libertad de estipulación. </w:t>
      </w:r>
      <w:r w:rsidRPr="00FE0199">
        <w:rPr>
          <w:rFonts w:eastAsia="Times New Roman" w:cs="Times New Roman"/>
          <w:szCs w:val="24"/>
          <w:lang w:eastAsia="es-CO"/>
        </w:rPr>
        <w:t>Modificado por el artículo 18 de la Ley 50 de 1990, interpretado con autoridad por el artículo 49 de la Ley 789 de 2002.</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1. El empleador y el trabajador pueden convenir libremente el salario en sus diversas modalidades como por unidad de tiempo, por obra, o a destajo y por tarea, etc., pero siempre respetando el salario mínimo legal o el fijado en los pactos, convenciones colectivas y fallos arbitrales.</w:t>
      </w:r>
    </w:p>
    <w:p w:rsidR="00D94154" w:rsidRDefault="00D94154"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2. No obstante lo dispuesto en los artículos 13, 14, 16, 21 y 340 del Código Sustantivo del Trabajo y las normas concordantes con estas, cuando el trabajador devengue un salario ordinario superior a diez (10) salarios mínimos legales mensuales, valdrá la estipulación escrita de un salario que además de retribuir el trabajo ordinario, compense de antemano el valor de prestaciones, recargos y beneficios tales como el correspondiente al trabajo nocturno, extraordinario o al dominical y festivo, el de primas legales, extralegales, las cesantías y sus intereses, subsidios y suministros en especie; y, en general, las que se incluyan en dicha estipulación, excepto las vacaciones.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En ningún caso el salario integral podrá ser inferior al monto de diez (10) salarios mínimos legales mensuales, más el factor prestacional correspondiente a la empresa que no podrá ser inferior al treinta por ciento (30%) de dicha cuantía.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3. Este salario no estará exento de las cotizaciones a la seguridad social, ni de los aportes al Sena, ICBF y cajas de compensación familiar, pero en el caso de estas tres últimas entidades, los aportes se disminuirán en un treinta por ciento (30%).</w:t>
      </w:r>
    </w:p>
    <w:p w:rsidR="00D94154" w:rsidRDefault="00D94154" w:rsidP="00FE0199">
      <w:pPr>
        <w:spacing w:after="0" w:line="240" w:lineRule="auto"/>
        <w:jc w:val="both"/>
        <w:rPr>
          <w:rFonts w:eastAsia="Times New Roman" w:cs="Times New Roman"/>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4. El trabajador que desee acogerse a esta estipulación, recibirá la liquidación definitiva de su auxilio de cesantía y demás prestaciones sociales causadas hasta esa fecha, sin que por ello se entienda terminado su contrato de trabajo.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H. NORMAS DEL DECRETO NÚMERO 663 DE 1993 (EOSF) QUE TIENEN INCIDENCIA EN LA DETERMINACIÓN DE LA BASE DE COTIZACIÓN DE APORTES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169 del Estatuto Orgánico del Sistema Financiero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CONSTITUCIÓN Y RÉGIMEN GENERAL DEL FONDO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1. Constitución.</w:t>
      </w:r>
      <w:r w:rsidRPr="00FE0199">
        <w:rPr>
          <w:rFonts w:eastAsia="Times New Roman" w:cs="Times New Roman"/>
          <w:szCs w:val="24"/>
          <w:lang w:eastAsia="es-CO"/>
        </w:rPr>
        <w:t> Los fondos de pensiones de jubilación e invalidez se constituirán, previa autorización de la Superintendencia Bancaria, por escritura pública, la cual se inscribirá en el registro mercantil del domicilio de la sociedad administradora.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 escritura de constitución deberá contener:</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 La denominación social y el domicilio de las sociedades administradora y depositaria;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b) La denominación del fondo de pensiones de jubilación e invalidez;</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 El objeto del fondo;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d) Las condiciones para sustituir las sociedades administradora o depositaria;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 El reglamento de funcionamiento del fondo, que contendrá, por lo menos, las siguientes especificaciones: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La política de inversiones de los recursos del fondo y las facultades que al respecto tendrá la sociedad administradora.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 Los sistemas actuariales que pueden utilizarse en los planes de pensiones de jubilación e invalidez.</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La comisión que haya de pagarse a la sociedad administradora.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Los gastos a cargo de la sociedad administradora y de la sociedad depositaria.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La composición, atribuciones y reglas de funcionamiento de la comisión de control del fondo.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Las normas para modificar el reglamento del fondo, y</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Las causas de disolución y las reglas de liquidación del fondo.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2. Entidad patrocinadora, partícipes y beneficiarios.</w:t>
      </w:r>
      <w:r w:rsidRPr="00FE0199">
        <w:rPr>
          <w:rFonts w:eastAsia="Times New Roman" w:cs="Times New Roman"/>
          <w:szCs w:val="24"/>
          <w:lang w:eastAsia="es-CO"/>
        </w:rPr>
        <w:t> Son entidades patrocinadoras del fondo de pensiones aquellas empresas, sociedades, sindicatos, asociaciones o gremios que participan en la creación o desarrollo del plan. Son partícipes todas aquellas personas naturales en cuyo interés se crea el plan. Son beneficiarios aquellas personas naturales que tienen derecho a percibir las prestaciones establecidas en el plan.</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3. Carácter no laboral de los aportes.</w:t>
      </w:r>
      <w:r w:rsidRPr="00FE0199">
        <w:rPr>
          <w:rFonts w:eastAsia="Times New Roman" w:cs="Times New Roman"/>
          <w:szCs w:val="24"/>
          <w:lang w:eastAsia="es-CO"/>
        </w:rPr>
        <w:t> Los aportes de las entidades patrocinadoras no constituyen salario y no se tomarán en cuenta para liquidar prestaciones sociales. Las prestaciones percibidas en virtud del plan son independientes del régimen de Seguridad Social y de cualquier otro régimen pensional. En consecuencia, salvo lo dispuesto en materia tributaria, no les serán aplicables las reglas previstas para pensiones de jubilación, vejez o invalidez.</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xml:space="preserve">4. </w:t>
      </w:r>
      <w:proofErr w:type="spellStart"/>
      <w:r w:rsidRPr="00FE0199">
        <w:rPr>
          <w:rFonts w:eastAsia="Times New Roman" w:cs="Times New Roman"/>
          <w:b/>
          <w:bCs/>
          <w:szCs w:val="24"/>
          <w:lang w:eastAsia="es-CO"/>
        </w:rPr>
        <w:t>Inembargabilidad</w:t>
      </w:r>
      <w:proofErr w:type="spellEnd"/>
      <w:r w:rsidRPr="00FE0199">
        <w:rPr>
          <w:rFonts w:eastAsia="Times New Roman" w:cs="Times New Roman"/>
          <w:b/>
          <w:bCs/>
          <w:szCs w:val="24"/>
          <w:lang w:eastAsia="es-CO"/>
        </w:rPr>
        <w:t xml:space="preserve"> de las prestaciones provenientes del fondo.</w:t>
      </w:r>
      <w:r w:rsidRPr="00FE0199">
        <w:rPr>
          <w:rFonts w:eastAsia="Times New Roman" w:cs="Times New Roman"/>
          <w:szCs w:val="24"/>
          <w:lang w:eastAsia="es-CO"/>
        </w:rPr>
        <w:t> Las prestaciones provenientes de fondos de pensiones de jubilación e invalidez son inembargables en una cuantía equivalente a ocho (8) salarios mínimos en el período por el cual se hace el pago de la prestación.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No obstante lo anterior, dichas prestaciones serán embargables cuando se trate de alimentos debidos por ley.</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5. Sustitución de la sociedad administradora.</w:t>
      </w:r>
      <w:r w:rsidRPr="00FE0199">
        <w:rPr>
          <w:rFonts w:eastAsia="Times New Roman" w:cs="Times New Roman"/>
          <w:szCs w:val="24"/>
          <w:lang w:eastAsia="es-CO"/>
        </w:rPr>
        <w:t> Podrá sustituirse a la sociedad que administre un fondo de pensiones en los siguientes casos: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a) Decisión de la comisión de control del fondo de pensiones de jubilación e invalidez, la cual designará la entidad que ha de reemplazarla.</w:t>
      </w:r>
      <w:r w:rsidRPr="00FE0199">
        <w:rPr>
          <w:rFonts w:eastAsia="Times New Roman" w:cs="Times New Roman"/>
          <w:szCs w:val="24"/>
          <w:lang w:eastAsia="es-CO"/>
        </w:rPr>
        <w:t> Hasta tanto la comisión de control no designe la nueva sociedad administradora, la anterior continuará en el ejercicio de sus funciones;</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b) Renuncia de la sociedad administradora por las causas previstas en el reglamento del fondo.</w:t>
      </w:r>
      <w:r w:rsidRPr="00FE0199">
        <w:rPr>
          <w:rFonts w:eastAsia="Times New Roman" w:cs="Times New Roman"/>
          <w:szCs w:val="24"/>
          <w:lang w:eastAsia="es-CO"/>
        </w:rPr>
        <w:t> Esta renuncia no producirá efectos antes de dos años contados a partir de la fecha de su comunicación. La Superintendencia Bancaria podrá exigir a la sociedad renunciante que otorgue las garantías necesarias para responder por sus obligaciones, y</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c) Solicitud de la sociedad administradora previa aceptación de la comisión de control del fondo y presentación de la entidad que deba reemplazarla.</w:t>
      </w:r>
      <w:r w:rsidRPr="00FE0199">
        <w:rPr>
          <w:rFonts w:eastAsia="Times New Roman" w:cs="Times New Roman"/>
          <w:szCs w:val="24"/>
          <w:lang w:eastAsia="es-CO"/>
        </w:rPr>
        <w:t xml:space="preserve"> En este caso, la comisión </w:t>
      </w:r>
      <w:r w:rsidRPr="00FE0199">
        <w:rPr>
          <w:rFonts w:eastAsia="Times New Roman" w:cs="Times New Roman"/>
          <w:szCs w:val="24"/>
          <w:lang w:eastAsia="es-CO"/>
        </w:rPr>
        <w:lastRenderedPageBreak/>
        <w:t>de control podrá exigir las garantías necesarias para responder por el cumplimiento de las obligaciones de la sociedad administradora.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u w:val="single"/>
          <w:lang w:eastAsia="es-CO"/>
        </w:rPr>
        <w:t>Artículo 173 del Estatuto Orgánico del sistema Financiero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NORMAS REGULADORAS DE LOS PLANES DE PENSIONES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1. Definición de Plan de pensiones.</w:t>
      </w:r>
      <w:r w:rsidRPr="00FE0199">
        <w:rPr>
          <w:rFonts w:eastAsia="Times New Roman" w:cs="Times New Roman"/>
          <w:szCs w:val="24"/>
          <w:lang w:eastAsia="es-CO"/>
        </w:rPr>
        <w:t> Es un acuerdo por el cual se establece la obligación de contribuir a un fondo de pensiones de jubilación e invalidez y el derecho de las personas, a cuyo favor se celebra, de percibir una prestación en la forma prevista por este estatuto.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Las prestaciones establecidas en un plan de pensiones de jubilación e invalidez podrán consistir en el pago de un capital o de una renta temporal o vitalicia por causa de vejez, invalidez, viudez u orfandad.</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2. Clases de planes.</w:t>
      </w:r>
      <w:r w:rsidRPr="00FE0199">
        <w:rPr>
          <w:rFonts w:eastAsia="Times New Roman" w:cs="Times New Roman"/>
          <w:szCs w:val="24"/>
          <w:lang w:eastAsia="es-CO"/>
        </w:rPr>
        <w:t> Los planes de pensiones de jubilación e invalidez pueden ser:</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a) De prestación definida:</w:t>
      </w:r>
      <w:r w:rsidRPr="00FE0199">
        <w:rPr>
          <w:rFonts w:eastAsia="Times New Roman" w:cs="Times New Roman"/>
          <w:szCs w:val="24"/>
          <w:lang w:eastAsia="es-CO"/>
        </w:rPr>
        <w:t> Aquellos en los cuales se define como objeto la cuantía de las prestaciones a percibir por los beneficiarios;</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b) De contribución definida:</w:t>
      </w:r>
      <w:r w:rsidRPr="00FE0199">
        <w:rPr>
          <w:rFonts w:eastAsia="Times New Roman" w:cs="Times New Roman"/>
          <w:szCs w:val="24"/>
          <w:lang w:eastAsia="es-CO"/>
        </w:rPr>
        <w:t> Aquellos en los cuales se define como objeto la cuantía de los aportes de las patrocinadoras y, en su caso, de los partícipes en el plan, y</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c) Mixtos:</w:t>
      </w:r>
      <w:r w:rsidRPr="00FE0199">
        <w:rPr>
          <w:rFonts w:eastAsia="Times New Roman" w:cs="Times New Roman"/>
          <w:szCs w:val="24"/>
          <w:lang w:eastAsia="es-CO"/>
        </w:rPr>
        <w:t> Aquellos cuyo objeto es simultáneamente la cuantía de las prestaciones y de los aportes.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Los planes de pensiones de jubilación e invalidez pueden ser también: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a) Abiertos:</w:t>
      </w:r>
      <w:r w:rsidRPr="00FE0199">
        <w:rPr>
          <w:rFonts w:eastAsia="Times New Roman" w:cs="Times New Roman"/>
          <w:szCs w:val="24"/>
          <w:lang w:eastAsia="es-CO"/>
        </w:rPr>
        <w:t> Aquellos a los cuales puede vincularse como partícipe cualquier persona natural que manifieste su voluntad de adherir al plan, 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b) Institucionales:</w:t>
      </w:r>
      <w:r w:rsidRPr="00FE0199">
        <w:rPr>
          <w:rFonts w:eastAsia="Times New Roman" w:cs="Times New Roman"/>
          <w:szCs w:val="24"/>
          <w:lang w:eastAsia="es-CO"/>
        </w:rPr>
        <w:t> Aquellos de los cuales solo pueden ser partícipes los trabajadores o los miembros de las entidades que los patrocinen.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3. Determinación de los planes de pensiones.</w:t>
      </w:r>
      <w:r w:rsidRPr="00FE0199">
        <w:rPr>
          <w:rFonts w:eastAsia="Times New Roman" w:cs="Times New Roman"/>
          <w:szCs w:val="24"/>
          <w:lang w:eastAsia="es-CO"/>
        </w:rPr>
        <w:t> Los planes de pensiones de jubilación e invalidez se establecerán mediante sistemas actuariales de capitalización que permitan establecer una equivalencia entre los aportes y las prestaciones futuras a que tienen derecho los beneficiarios.</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4. Contenido del plan.</w:t>
      </w:r>
      <w:r w:rsidRPr="00FE0199">
        <w:rPr>
          <w:rFonts w:eastAsia="Times New Roman" w:cs="Times New Roman"/>
          <w:szCs w:val="24"/>
          <w:lang w:eastAsia="es-CO"/>
        </w:rPr>
        <w:t> En todo plan de pensiones de jubilación e invalidez deberá estipularse: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a) Las condiciones de admisión de los partícipes;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b) El monto del aporte de la patrocinadora y, si es del caso de los partícipes;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c) Las reglas para el cálculo de las prestaciones y, si estas son reajustables, los mecanismos de reajustes;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lastRenderedPageBreak/>
        <w:t>d) Las condiciones para la pérdida de la calidad de partícipe;</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e) Los derechos del partícipe en caso de retiro del plan antes del cumplimiento de las condiciones previstas para tener derecho a las prestaciones establecidas en el mismo;</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f) Los demás derechos y obligaciones de los partícipes;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g) Las reglas para trasladar los derechos consolidados del partícipe a otro plan;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h) El fondo de pensiones a través del cual se desarrollará el plan de pensiones;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i) Las causas de terminación del plan y las reglas para su liquidación;</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j) Las reglas para modificar el plan, y</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k) Las demás estipulaciones que determine la Superintendencia Bancaria.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5. Valuación actuarial.</w:t>
      </w:r>
      <w:r w:rsidRPr="00FE0199">
        <w:rPr>
          <w:rFonts w:eastAsia="Times New Roman" w:cs="Times New Roman"/>
          <w:szCs w:val="24"/>
          <w:lang w:eastAsia="es-CO"/>
        </w:rPr>
        <w:t> Los planes deberán ser revisados anualmente por un actuario quien presentará una valuación actuarial sobre su desarrollo y el cumplimiento futuro de las prestaciones.</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Si, como consecuencia de dicha valuación, fuere necesario efectuar ajustes, estos se someterán a consideración de la comisión de control del fondo, prevista en el numeral 1 del artículo 174 del presente Estatuto, para que esta, de acuerdo con lo establecido en el plan, proponga las modificaciones necesarias que deberán ser autorizadas por la Superintendencia Bancaria.</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szCs w:val="24"/>
          <w:lang w:eastAsia="es-CO"/>
        </w:rPr>
        <w:t> </w:t>
      </w: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6. Transferencia entre planes.</w:t>
      </w:r>
      <w:r w:rsidRPr="00FE0199">
        <w:rPr>
          <w:rFonts w:eastAsia="Times New Roman" w:cs="Times New Roman"/>
          <w:szCs w:val="24"/>
          <w:lang w:eastAsia="es-CO"/>
        </w:rPr>
        <w:t> Los planes de pensiones de jubilación e invalidez establecerán las condiciones en las cuales sus partícipes podrán solicitar que las sumas acreditadas a su favor se transfieran a otro plan de pensiones, sin que para efectos fiscales ello implique un ingreso constitutivo de renta o ganancia ocasional.</w:t>
      </w:r>
    </w:p>
    <w:p w:rsidR="00D94154" w:rsidRDefault="00D94154" w:rsidP="00FE0199">
      <w:pPr>
        <w:spacing w:after="0" w:line="240" w:lineRule="auto"/>
        <w:jc w:val="both"/>
        <w:rPr>
          <w:rFonts w:eastAsia="Times New Roman" w:cs="Times New Roman"/>
          <w:b/>
          <w:bCs/>
          <w:szCs w:val="24"/>
          <w:lang w:eastAsia="es-CO"/>
        </w:rPr>
      </w:pPr>
    </w:p>
    <w:p w:rsidR="00FE0199" w:rsidRP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7. Pensiones a cargo de sociedades disueltas.</w:t>
      </w:r>
      <w:r w:rsidRPr="00FE0199">
        <w:rPr>
          <w:rFonts w:eastAsia="Times New Roman" w:cs="Times New Roman"/>
          <w:szCs w:val="24"/>
          <w:lang w:eastAsia="es-CO"/>
        </w:rPr>
        <w:t> Sin perjuicio de las alternativas establecidas en el artículo 246 del Código de Comercio, cuando una sociedad disuelta esté obligada a pagar pensiones de jubilación, podrá contratar un plan de pensiones de jubilación e invalidez para que, con los recursos del fondo de pensiones de jubilación e invalidez, se atienda el pago periódico de las mismas.</w:t>
      </w:r>
    </w:p>
    <w:p w:rsidR="00FE0199" w:rsidRDefault="00FE0199" w:rsidP="00FE0199">
      <w:pPr>
        <w:spacing w:after="0" w:line="240" w:lineRule="auto"/>
        <w:jc w:val="both"/>
        <w:rPr>
          <w:rFonts w:eastAsia="Times New Roman" w:cs="Times New Roman"/>
          <w:szCs w:val="24"/>
          <w:lang w:eastAsia="es-CO"/>
        </w:rPr>
      </w:pPr>
      <w:r w:rsidRPr="00FE0199">
        <w:rPr>
          <w:rFonts w:eastAsia="Times New Roman" w:cs="Times New Roman"/>
          <w:b/>
          <w:bCs/>
          <w:szCs w:val="24"/>
          <w:lang w:eastAsia="es-CO"/>
        </w:rPr>
        <w:t>8. Autorización previa de la Superintendencia Bancaria.</w:t>
      </w:r>
      <w:r w:rsidRPr="00FE0199">
        <w:rPr>
          <w:rFonts w:eastAsia="Times New Roman" w:cs="Times New Roman"/>
          <w:szCs w:val="24"/>
          <w:lang w:eastAsia="es-CO"/>
        </w:rPr>
        <w:t> Todo plan de pensiones de jubilación e invalidez debe ser autorizado por la Superintendencia Bancaria. A la solicitud respectiva se acompañará el estudio actuarial que respalde el plan.</w:t>
      </w:r>
    </w:p>
    <w:p w:rsidR="00FE0199" w:rsidRPr="00FE0199" w:rsidRDefault="00FE0199" w:rsidP="00FE0199">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FE0199" w:rsidRPr="00FE0199" w:rsidRDefault="00FE0199" w:rsidP="00FE0199">
      <w:pPr>
        <w:spacing w:after="285" w:line="240" w:lineRule="auto"/>
        <w:jc w:val="both"/>
        <w:rPr>
          <w:rFonts w:eastAsia="Times New Roman" w:cs="Times New Roman"/>
          <w:szCs w:val="24"/>
          <w:lang w:eastAsia="es-CO"/>
        </w:rPr>
      </w:pPr>
      <w:r w:rsidRPr="00FE0199">
        <w:rPr>
          <w:rFonts w:eastAsia="Times New Roman" w:cs="Times New Roman"/>
          <w:szCs w:val="24"/>
          <w:lang w:eastAsia="es-CO"/>
        </w:rPr>
        <w:t> </w:t>
      </w:r>
    </w:p>
    <w:p w:rsidR="00961BFA" w:rsidRPr="00FE0199" w:rsidRDefault="00961BFA">
      <w:pPr>
        <w:rPr>
          <w:rFonts w:cs="Times New Roman"/>
          <w:szCs w:val="24"/>
        </w:rPr>
      </w:pPr>
    </w:p>
    <w:sectPr w:rsidR="00961BFA" w:rsidRPr="00FE0199" w:rsidSect="00FE019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99"/>
    <w:rsid w:val="0029351E"/>
    <w:rsid w:val="002D60CD"/>
    <w:rsid w:val="006D412E"/>
    <w:rsid w:val="00754CB7"/>
    <w:rsid w:val="00925FC5"/>
    <w:rsid w:val="00961BFA"/>
    <w:rsid w:val="00B94BED"/>
    <w:rsid w:val="00D064D4"/>
    <w:rsid w:val="00D94154"/>
    <w:rsid w:val="00E3651C"/>
    <w:rsid w:val="00F97CA2"/>
    <w:rsid w:val="00FE01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F1C4-B031-4A05-9EF2-A7CAB9D7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9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7648</Words>
  <Characters>42064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2017-03-10T00:57:00Z</dcterms:created>
  <dcterms:modified xsi:type="dcterms:W3CDTF">2017-03-20T13:44:00Z</dcterms:modified>
</cp:coreProperties>
</file>